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63" w:rsidRDefault="00933263" w:rsidP="00933263">
      <w:pPr>
        <w:widowControl w:val="0"/>
        <w:spacing w:line="317" w:lineRule="exact"/>
        <w:ind w:left="80" w:right="100"/>
        <w:jc w:val="center"/>
        <w:rPr>
          <w:b/>
          <w:spacing w:val="5"/>
          <w:sz w:val="25"/>
          <w:szCs w:val="25"/>
        </w:rPr>
      </w:pPr>
      <w:r>
        <w:rPr>
          <w:b/>
          <w:spacing w:val="5"/>
          <w:sz w:val="25"/>
          <w:szCs w:val="25"/>
        </w:rPr>
        <w:t>Комплекс профилактических мероприятий</w:t>
      </w:r>
      <w:r>
        <w:rPr>
          <w:spacing w:val="5"/>
          <w:sz w:val="25"/>
          <w:szCs w:val="25"/>
        </w:rPr>
        <w:t xml:space="preserve"> </w:t>
      </w:r>
      <w:r>
        <w:rPr>
          <w:b/>
          <w:spacing w:val="5"/>
          <w:sz w:val="25"/>
          <w:szCs w:val="25"/>
        </w:rPr>
        <w:t>по предупреждению преступлений  совершаемых в отношении несовершеннолетних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b/>
          <w:spacing w:val="5"/>
          <w:sz w:val="25"/>
          <w:szCs w:val="25"/>
        </w:rPr>
      </w:pPr>
      <w:r>
        <w:rPr>
          <w:b/>
          <w:spacing w:val="5"/>
          <w:sz w:val="25"/>
          <w:szCs w:val="25"/>
        </w:rPr>
        <w:t>Родителям: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не позволять детям знакомиться на улице с посторонними людьми;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не позволять детям говорить незнакомым людям свой домашний адрес и телефон;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не позволять детям гулять в непредназначенных для этого местах;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не позволять детям уходить далеко от дома;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не отпускать детей гулять в отдаленные места без сопровождения взрослого и хорошо знакомого Вам человека;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стараться самим забирать ребенка из детского сада или школы;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убедить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даже если живут в своем районе не первый год, регулярно обходить окрестные дворы и смотреть, где гуляют их дети и чем они там занимаются. Интересоваться у своего ребенка, в каком именно месте он гуляет, и периодически проверять, что он находится именно там;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при возможности подключить к мобильному телефону ребенка услугу «определение местоположения абонента»;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не приобретать ребенку дорогие мобильные телефоны и иные аксессуары, так как это может стать провоцирующим фактором совершения в отношении него преступления;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 сказать, ребенку сразу же сообщать о неприятных ситуациях во время общения в Интернете. Просматривать информацию, содержащуюся в компьютере ребенка - это поможет контролировать его общение в сети;</w:t>
      </w:r>
    </w:p>
    <w:p w:rsidR="00933263" w:rsidRDefault="00933263" w:rsidP="00933263">
      <w:pPr>
        <w:widowControl w:val="0"/>
        <w:spacing w:line="317" w:lineRule="exact"/>
        <w:ind w:left="80" w:right="100"/>
        <w:jc w:val="both"/>
        <w:rPr>
          <w:spacing w:val="5"/>
          <w:sz w:val="25"/>
          <w:szCs w:val="25"/>
        </w:rPr>
      </w:pPr>
      <w:r>
        <w:rPr>
          <w:spacing w:val="5"/>
          <w:sz w:val="25"/>
          <w:szCs w:val="25"/>
        </w:rPr>
        <w:t>- помнить, что нахождение ребенка, не достигшего возраста 16 лет, без сопровождения взрослого, в общественных местах с 23 до 6 часов местного времени может повлечь привлечение родителей к административной ответственности.</w:t>
      </w:r>
    </w:p>
    <w:p w:rsidR="00BB7388" w:rsidRDefault="00BB7388"/>
    <w:sectPr w:rsidR="00BB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933263"/>
    <w:rsid w:val="00933263"/>
    <w:rsid w:val="00BB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2018-10-29T06:29:00Z</dcterms:created>
  <dcterms:modified xsi:type="dcterms:W3CDTF">2018-10-29T06:30:00Z</dcterms:modified>
</cp:coreProperties>
</file>